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399" w:rsidRPr="00310ACD" w:rsidRDefault="00190CB8" w:rsidP="001D41DC">
      <w:pPr>
        <w:jc w:val="center"/>
        <w:rPr>
          <w:b/>
          <w:bCs/>
        </w:rPr>
      </w:pPr>
      <w:bookmarkStart w:id="0" w:name="_GoBack"/>
      <w:bookmarkEnd w:id="0"/>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B24EA5" w:rsidRDefault="00EC2317" w:rsidP="00CE5A32">
      <w:pPr>
        <w:spacing w:line="255" w:lineRule="auto"/>
        <w:ind w:right="-75"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 xml:space="preserve">государственных органов и органов местного </w:t>
      </w:r>
      <w:proofErr w:type="gramStart"/>
      <w:r w:rsidR="0073770D" w:rsidRPr="00310ACD">
        <w:t>самоуправления</w:t>
      </w:r>
      <w:r w:rsidR="005B2121">
        <w:br/>
      </w:r>
      <w:r w:rsidR="0073770D" w:rsidRPr="00310ACD">
        <w:t>(</w:t>
      </w:r>
      <w:proofErr w:type="gramEnd"/>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9E2008" w:rsidRPr="00B24EA5" w:rsidRDefault="00B24EA5" w:rsidP="00CE5A32">
      <w:pPr>
        <w:spacing w:line="255" w:lineRule="auto"/>
        <w:ind w:right="-75" w:firstLine="709"/>
        <w:jc w:val="both"/>
      </w:pPr>
      <w:r w:rsidRPr="00250280">
        <w:rPr>
          <w:rFonts w:eastAsia="Times New Roman"/>
        </w:rPr>
        <w:t xml:space="preserve">Морально-этические требования к государственным служащим Новгородской области и стандарты его поведения, отвечающие принципам справедливости, честности, прозрачности, ответственности и отчетности закреплены в </w:t>
      </w:r>
      <w:r w:rsidRPr="00250280">
        <w:t>Кодексе этики и служебного поведения государственных гражданских служащих, замещающих должности в структурных подразделениях по обеспечению деятельности Правительства Новгородской области и Губернатора Новгородской области, руководителей исполнительных органов государственной власти Новгородской области и лиц замещающих государственные должности Новгородской области в Правительстве Новгородской области, который утвержден постановлением Правительства Новгородской области от 19.04.2017 № 122.</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lastRenderedPageBreak/>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аудито</w:t>
      </w:r>
      <w:proofErr w:type="spell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 xml:space="preserve">комиссий по соблюдению требований к служебному поведению </w:t>
      </w:r>
      <w:r w:rsidRPr="00310ACD">
        <w:lastRenderedPageBreak/>
        <w:t>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2E2337">
      <w:pPr>
        <w:autoSpaceDE w:val="0"/>
        <w:autoSpaceDN w:val="0"/>
        <w:adjustRightInd w:val="0"/>
        <w:ind w:firstLine="540"/>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xml:space="preserve">, отчества или должности третьих лиц, обладающих политическим или </w:t>
      </w:r>
      <w:r w:rsidR="00D85BBF" w:rsidRPr="00310ACD">
        <w:rPr>
          <w:bCs w:val="0"/>
          <w:szCs w:val="28"/>
        </w:rPr>
        <w:lastRenderedPageBreak/>
        <w:t>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w:t>
      </w:r>
      <w:r w:rsidRPr="00310ACD">
        <w:lastRenderedPageBreak/>
        <w:t xml:space="preserve">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71F" w:rsidRDefault="00A0771F" w:rsidP="001F7781">
      <w:r>
        <w:separator/>
      </w:r>
    </w:p>
  </w:endnote>
  <w:endnote w:type="continuationSeparator" w:id="0">
    <w:p w:rsidR="00A0771F" w:rsidRDefault="00A0771F"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71F" w:rsidRDefault="00A0771F" w:rsidP="001F7781">
      <w:r>
        <w:separator/>
      </w:r>
    </w:p>
  </w:footnote>
  <w:footnote w:type="continuationSeparator" w:id="0">
    <w:p w:rsidR="00A0771F" w:rsidRDefault="00A0771F"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CE7FEC">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C47080">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1A32"/>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1494D"/>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0771F"/>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4EA5"/>
    <w:rsid w:val="00B25F57"/>
    <w:rsid w:val="00B30C70"/>
    <w:rsid w:val="00B51506"/>
    <w:rsid w:val="00B54DDE"/>
    <w:rsid w:val="00B54E2D"/>
    <w:rsid w:val="00B62741"/>
    <w:rsid w:val="00B630D0"/>
    <w:rsid w:val="00B635A5"/>
    <w:rsid w:val="00B7006F"/>
    <w:rsid w:val="00B73848"/>
    <w:rsid w:val="00B81DD1"/>
    <w:rsid w:val="00B829CE"/>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47080"/>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5A32"/>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B5FE4"/>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065DE-DF65-4591-9757-7B13F5A0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9BA2C-A286-44BA-B951-4DA656BE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1758</Words>
  <Characters>10025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Пользователь</cp:lastModifiedBy>
  <cp:revision>2</cp:revision>
  <cp:lastPrinted>2018-08-01T07:52:00Z</cp:lastPrinted>
  <dcterms:created xsi:type="dcterms:W3CDTF">2018-08-01T07:53:00Z</dcterms:created>
  <dcterms:modified xsi:type="dcterms:W3CDTF">2018-08-01T07:53:00Z</dcterms:modified>
</cp:coreProperties>
</file>